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8E" w:rsidRDefault="00AE438E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EF2F392" wp14:editId="49773488">
            <wp:extent cx="5940425" cy="8244322"/>
            <wp:effectExtent l="0" t="0" r="3175" b="4445"/>
            <wp:docPr id="1" name="Рисунок 1" descr="C:\Users\рдк\Desktop\самообследование\Рисунок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к\Desktop\самообследование\Рисунок (4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22D4B" w:rsidRDefault="00722D4B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РЕЗУЛЬТАТАХ САМООБСЛЕДОВАНИЯ</w:t>
      </w: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FA3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2023-2024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ГОД</w:t>
      </w: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181" w:rsidRDefault="00F75181" w:rsidP="00F7518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>
        <w:rPr>
          <w:rFonts w:ascii="Times New Roman" w:eastAsia="Times New Roman" w:hAnsi="Times New Roman" w:cs="Times New Roman"/>
          <w:b/>
          <w:lang w:eastAsia="ru-RU"/>
        </w:rPr>
        <w:t>ИНФОРМАЦИОННО-АНАЛИТИЧЕСКИЕ СВЕДЕНИЯ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 Полное наименование образовательного учреждения в соответствии с Уставом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образовательное бюджетное учреждение дополнительного образования дом детского творчества «Радуга» муниципального района Стерлитамакский район Республики Башкортостан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 Юридический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453149, Республика Башкортостан, Стерлитамакский район, с. Большой Куганак, ул. Ленина д.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(3473)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27-64-63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 Фактический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A3A14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453149, Республика 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Башкортостан, Стерлитамакский район, с. Большой Куганак, ул. Ленина д. </w:t>
            </w:r>
            <w:proofErr w:type="gramStart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8(3473)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27-64-63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 Учредители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Стерлитамакский район Республики Башкортостан, г. Стерлитамак, ул. Карла Маркса, 118, т. (3473) 25-32-32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1.5. Организационно-правовая форма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1.6. Регистрационное свидетельство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459 от 21.05.2012г.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Администрацией Стерлитамакского района Республики Башкортостан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1.7. Лицензия на образовательную деятельность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№ 0006970 выдана Управлением по контролю и надзору в сфере образования Республики Башкортостан 04.04.201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9г., регистрационный номер 5191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1.8. Свидетельство о постановке на учет в налоговый орган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является юридическим лицом 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российской организации в налоговом органе по месту ее нахождения на территории Российской Федерации серия 02 № 006354199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1.9. Свидетельство о внесении записи в ЕГРЮЛ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внесении записи в Единый государственный реестр юридических лиц серия 02 № 007128878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Руководитель образовательного учреждения (Ф.И.О., квалификационная категория)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9A58AA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д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Мосолова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Рифгатовна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0AA" w:rsidRDefault="003670AA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D4B" w:rsidRDefault="00722D4B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D4B" w:rsidRDefault="00722D4B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Контингент обучающихся:</w:t>
      </w: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1568"/>
        <w:gridCol w:w="1380"/>
        <w:gridCol w:w="1219"/>
        <w:gridCol w:w="1082"/>
        <w:gridCol w:w="973"/>
      </w:tblGrid>
      <w:tr w:rsidR="00F75181" w:rsidTr="00F75181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ОУ</w:t>
            </w:r>
          </w:p>
        </w:tc>
      </w:tr>
      <w:tr w:rsidR="00F75181" w:rsidTr="00F75181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кружковых объединениях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A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38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C2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bookmarkStart w:id="0" w:name="_GoBack"/>
            <w:bookmarkEnd w:id="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A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38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</w:tr>
    </w:tbl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учреждения дополнительного образования детей</w:t>
      </w: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862"/>
        <w:gridCol w:w="1862"/>
        <w:gridCol w:w="1862"/>
        <w:gridCol w:w="1862"/>
      </w:tblGrid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</w:t>
            </w:r>
            <w:r w:rsidR="009A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 возраст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</w:t>
            </w:r>
          </w:p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учебной недели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занятий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20-30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30-45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мин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перерывов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</w:tr>
    </w:tbl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Default="00F75181" w:rsidP="009A5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Основные направления, цель и задачи работы учреждения.</w:t>
      </w:r>
    </w:p>
    <w:p w:rsidR="00F75181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МОБУ ДО ДДТ «Радуга» – как учреждение дополнительного образования детей осуществляет свою деятельность в соответствии с основополагающими руководящими документами: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29.12.2012 № 273-ФЗ (ред. От 21.07.2014) «Об образовании в Российской Федерации»; Стратегия развития воспитания в Российской Федерации на период до 2025 года; Концепция развития дополнительного образования детей,  от 04 сентября 2014 г. №1726-р.;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государственная программа Российской Федерации «Развитие образования», утвержденной постановлением Правительства Российской Федерации от 26 декабря 2017 года № 1642; государственная программа «Развитие образования в Республике Башкортостан», утвержденной постановлением Правительства Республики Башкортостан от 13 октября 2020 года № 604; паспортом национального проекта «Образование»,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3 сентября 2019 года № 467 «Об утверждении Целевой модели развития региональных систем дополнительного образования детей»;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 по дополнительным программам»;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№1 Письма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18.11.2015 г. № 09-3242 «Методические рекомендации по проектированию дополнительных общеразвивающих программ»; Гигиенические требования к условиям обучения в  учреждениях дополнительного образования: Сан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2.4.4. 3172-14;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и программой развития МОБУ ДО ДДТ «Радуга», Уставом учреждения.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5181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процесс в Доме детского творчества направлен на создание для каждого ребёнка комфортного образовательного пространства, поля неформального общения, культурной и эмоционально-значимой среды, в которой есть возможности для создания ситуации успеха.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Деятельность учреждения обусловлена сложившимися традициями, проверенным опытом, формами и методами образовательной, досуговой, методической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даёт определённые результаты. Дом детского творчества «Радуга» дает возможность развивать свои творческие способности, расширять кругозор, учиться общению детям нашего поселения и района. В соответствии с годовым планом работы на 2020-2021 учебный год коллектив Дома творчества выполнял социальный заказ по сохранению и пополнению контингента обучающихся и развитию творческого потенциала 967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на основе сохранения их физического, психологического и нравственного здоровья в содружестве с родителями. С этой целью коллектив на основе использования всех имеющихся ресурсов (кадровых, программно-методических, материально-технических, сотрудничества с социумом):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реализовал 37 дополнительных общеобразовательных программ;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ряд досуговых программ;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продолжал деятельность по совместным программам «Одарённые дети».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обеспечивал активное участие обучающихся в мероприятиях и конкурсах различного уровня;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реализовывал методическое сопровождение образовательного процесса, повышение квалификации педагогов.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 целью работы учреждения является  создание благоприятных условий для личностного и физического развития детей, для удовлетворения их интересов, способностей и дарований, для адаптации их к жизни в обществе, формирования общей культуры и организации содержательного досуга.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Дома детского творчества строилась исходя из следующих задач: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совершенствование программ, а также обеспечение преемственности между имеющимися с целью продления сроков пребывания обучающихся в Доме детского творчества «Радуга»;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практической и методической помощи педагогам дополнительного образования Дома детского творчества «Радуга» в деятельности детских объединений;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взаимоотношений между субъектами образовательного процесса (детьми, родителями, педагогами) на основе сотрудничества, сотворчества, взаимоуважения детей и взрослых;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деятельности органа детского самоуправления;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финансово-экономического и хозяйственного обеспечения;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проведения мониторинга деятельности;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объёма работы с детьми дошкольного возраста;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объёма работы  с детьми </w:t>
      </w:r>
      <w:r w:rsidRPr="00770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ограниченными возможностями;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укрепление потребности в бережном отношении к своему здоровью, проведение мероприятий по профилактике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поведения несовершеннолетних.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Чёткое определение цели и задач, стратегических ориентиров и ожидаемых результатов деятельности Дома детского творчества «Радуга» выстроенных в логике социальной политики и интересов детей, а также с учётом фактических возможностей учреждения способствовало достижению намеченных задач и создало необходимые условия для устойчивого развития учреждения.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Концептуальную основу образовательной деятельности Дома детского творчества «Радуга»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уважения, а так же: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свободный выбор детьми видов и сфер деятельности;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личностные интересы, потребности, способности ребёнка;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возможность свободного самоопределения и самореализации ребёнка;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обучения, воспитания и развития;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практико-ориентированная основа образовательного процесса.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 Работа учреждения дополнительного образования детей ДДТ «Радуга  организована по следующим направленностям: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Характеристика образовательного процесса и основных результатов работы с обучающимися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049"/>
        <w:gridCol w:w="2216"/>
        <w:gridCol w:w="2214"/>
      </w:tblGrid>
      <w:tr w:rsidR="00F75181" w:rsidRPr="00770424" w:rsidTr="00F75181">
        <w:trPr>
          <w:trHeight w:val="49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программ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объединений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4019D3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Физкульурно</w:t>
            </w:r>
            <w:proofErr w:type="spellEnd"/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-оздоровительная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4019D3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932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Характеристика состава обучающихся</w:t>
      </w:r>
    </w:p>
    <w:p w:rsidR="00F75181" w:rsidRPr="00770424" w:rsidRDefault="003670AA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2021 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 в соответствии с тарификацией, в Доме детского творчества «Радуга» действовали 37 творческих объе</w:t>
      </w:r>
      <w:r w:rsidR="004019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динения, в которых обучались 932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сравнению с прошлым годом уменьшилось количество детей за счёт уменьшения  кружковых объединений  (по внеурочной деятельности). За последние три года соотношение по возрастному составу примерно остаётся постоянным, с преобладанием количества детей  младшего и среднего школьного возраста. Из таблицы 1 видно, что наибольшее число объединений представляют художественную и социально-педагогическую направленности, по данным направленностям  отмечается наибольшее число обучающихся. В этом учебном году соотношение мальчиков и девочек остается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прежнему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в сторону девочек.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общего состава детей: с ограниченными возможностями здоровья – 7 человек, детей оставшихся без попечения родителей – 6, детей из многодетных и малообеспеченных семей – 128, склонных к асоциальному поведению – 5 человек.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Сохранность контингента остаётся стабильной. Показатель сохранности контингента обучающихся по Дому детского творчества в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целом,  обусловлен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факторов:  учётом интересов социального заказчика – детей и родителей, созданием комфортных условий для обучения и отдыха детей, обеспечением участия в конкурсах различного уровня и организацией культурно-массовой деятельности, а также наличием  системы контроля полноты реализации образовательных программ на уровне объединений.  </w:t>
      </w:r>
    </w:p>
    <w:p w:rsidR="00F75181" w:rsidRPr="00770424" w:rsidRDefault="00F75181" w:rsidP="00F75181">
      <w:pPr>
        <w:spacing w:before="10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Характеристика и профессиональные достижения  педагогического коллектива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F26" w:rsidRDefault="00F75181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Дома детского творчества «Радуга» – это сплочённый коллектив единомышленников, имеющий реальный потенциал для осуществления образовательного процесса на достаточно высоком уровне и существенный опыт работы в системе дополнительного образования детей. В ДДТ «Радуга» работает инициативный, творческий, работоспособный коллектив педагогов. Педагогический коллектив достаточно молод. Он находится в той категории, где имеет место рост творческого потенциала и педагогического мастерства.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Одним из важнейших условий, обеспечивающих стабильную деятельность Дома творчества, признаётся наличие в нём специалистов по различным направлениям. Текучесть кадров минимальн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укомплектованность -  100%.</w:t>
      </w:r>
    </w:p>
    <w:p w:rsidR="00722D4B" w:rsidRDefault="00722D4B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CA3F26" w:rsidRDefault="00F75181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Calibri" w:hAnsi="Times New Roman" w:cs="Times New Roman"/>
          <w:b/>
          <w:sz w:val="24"/>
          <w:szCs w:val="24"/>
        </w:rPr>
        <w:t>Обобщенные сведения о составе и квалификации педагогических кадров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444"/>
        <w:gridCol w:w="1852"/>
        <w:gridCol w:w="1717"/>
      </w:tblGrid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 чел.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(чел.)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Укомплектованность штатов </w:t>
            </w:r>
            <w:proofErr w:type="spellStart"/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Внешних совместителей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педагогических работников, имеющих высшее образования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педагогических работников, имеющих среднее профессиональное образование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</w:tr>
      <w:tr w:rsidR="00F75181" w:rsidRPr="00770424" w:rsidTr="00F75181"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работников, имеющих квалификационную категорию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47,5%</w:t>
            </w:r>
          </w:p>
        </w:tc>
      </w:tr>
      <w:tr w:rsidR="00F75181" w:rsidRPr="00770424" w:rsidTr="00F75181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22,5%</w:t>
            </w:r>
          </w:p>
        </w:tc>
      </w:tr>
      <w:tr w:rsidR="00F75181" w:rsidRPr="00770424" w:rsidTr="00F75181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работников, не имеющих квалификационной категории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CA3F26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учреждении  в 2021 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осуществляли педагогический процесс 40 педагогических работника, из которых 30 – имеют высшее образование (75%), 19 педагогов имеют высшую категорию (47,5%), 9 педагогов имеют первую категорию (22,5%). Из 40 педагогических работников 20  являются основными работниками  и 20 - совместителей.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Дома творчества стремятся к самосовершенствованию, повышению своей квалификации и профессионального мастерства. Повышение квалификации и профессионального мастерства педагогов в этом учебном году осуществлялось через обучение на курсах повышения квалификации (27 чел.).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 показывает практика, педагоги стремятся повысить квалификацию не только на курсах (27 чел.), необходимых для процедуры аттестации, но и на тематических, предметных мастер-классах,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семинарах, педагогических конференциях. 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используют полученные знания как непосредственно при проведении занятий и мероприятий, так и при участии в семинарах, конкурсах профессионального мастерства, а также в методической работе – создание информационных баз, оформление нормативно-правовой документации, разработке дидактического сопровождения учебного процесса. В этом учебном году наибольшую активность в презентации своего профессионального мастерства проявили педагоги дополнительного образования: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Виноградова Т.В., Макарова Н.Н.,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Спевак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Трофимова Ж.А., Федотова И.В., Шабанова А.А., педагоги-совместители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Алибаева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С.Ф., Звягинцева М.В., Попова Е.И., Султанова Р.С., Фирсова В.Н., Фролова Л.И., Шадрина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М.Н..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педагоги представляли Дом творчества на районном, республиканском, всероссийском уровне.  Их воспитанники смогли добиться хороших результатов в конкурсах, олимпиадах и научно-практических конференциях.  </w:t>
      </w:r>
    </w:p>
    <w:p w:rsidR="00F75181" w:rsidRPr="00770424" w:rsidRDefault="00F75181" w:rsidP="00F751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текущем году педагоги Дома творчества приняли активное участие в профессиональных конкурсах различного уровня. Так, например, Виноградова Т.В. заняла 2 место в </w:t>
      </w:r>
      <w:r w:rsidRPr="00770424">
        <w:rPr>
          <w:rFonts w:ascii="Times New Roman" w:hAnsi="Times New Roman" w:cs="Times New Roman"/>
          <w:sz w:val="24"/>
          <w:szCs w:val="24"/>
        </w:rPr>
        <w:t>Региональном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этап</w:t>
      </w:r>
      <w:r w:rsidRPr="00770424">
        <w:rPr>
          <w:rFonts w:ascii="Times New Roman" w:hAnsi="Times New Roman" w:cs="Times New Roman"/>
          <w:sz w:val="24"/>
          <w:szCs w:val="24"/>
        </w:rPr>
        <w:t>е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424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Всероссийского конкурса «Учитель здоровья России – 2020»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Денисенко В.В. заняла 1 место в </w:t>
      </w:r>
      <w:r w:rsidRPr="00770424">
        <w:rPr>
          <w:rFonts w:ascii="Times New Roman" w:hAnsi="Times New Roman" w:cs="Times New Roman"/>
          <w:sz w:val="24"/>
          <w:szCs w:val="24"/>
        </w:rPr>
        <w:t>Открытом Всероссийском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770424">
        <w:rPr>
          <w:rFonts w:ascii="Times New Roman" w:hAnsi="Times New Roman" w:cs="Times New Roman"/>
          <w:sz w:val="24"/>
          <w:szCs w:val="24"/>
        </w:rPr>
        <w:t>е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на лучшую образовательную программу дополнительного образования «Развитие-2021»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заняла 1 место во </w:t>
      </w:r>
      <w:r w:rsidRPr="00770424">
        <w:rPr>
          <w:rFonts w:ascii="Times New Roman" w:hAnsi="Times New Roman" w:cs="Times New Roman"/>
          <w:sz w:val="24"/>
          <w:szCs w:val="24"/>
        </w:rPr>
        <w:t>Всероссийском творческом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770424">
        <w:rPr>
          <w:rFonts w:ascii="Times New Roman" w:hAnsi="Times New Roman" w:cs="Times New Roman"/>
          <w:sz w:val="24"/>
          <w:szCs w:val="24"/>
        </w:rPr>
        <w:t>е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«Моя Родина – Россия!»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Спевак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заняла 1 место в </w:t>
      </w:r>
      <w:r w:rsidRPr="00770424">
        <w:rPr>
          <w:rFonts w:ascii="Times New Roman" w:eastAsia="Calibri" w:hAnsi="Times New Roman" w:cs="Times New Roman"/>
          <w:sz w:val="24"/>
          <w:szCs w:val="24"/>
        </w:rPr>
        <w:t>Международная выставка-конкурс профессиональных художников и мастеров прикладного искусства «Золотые руки»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Шабанова А.А. заняла 1 место в </w:t>
      </w:r>
      <w:r w:rsidRPr="00770424">
        <w:rPr>
          <w:rFonts w:ascii="Times New Roman" w:hAnsi="Times New Roman" w:cs="Times New Roman"/>
          <w:sz w:val="24"/>
          <w:szCs w:val="24"/>
        </w:rPr>
        <w:t>Районном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770424">
        <w:rPr>
          <w:rFonts w:ascii="Times New Roman" w:hAnsi="Times New Roman" w:cs="Times New Roman"/>
          <w:sz w:val="24"/>
          <w:szCs w:val="24"/>
        </w:rPr>
        <w:t>е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 мастерства «Педагог года – 2021»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методист ДДТ «Радуга»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Козлицкая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заняла призовое место в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грантовом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Республиканском конкурсе на лучшую организацию работы  по развитию и сопровождению одаренных детей и молодежи.</w:t>
      </w:r>
    </w:p>
    <w:p w:rsidR="00F75181" w:rsidRPr="00770424" w:rsidRDefault="00F75181" w:rsidP="00F75181">
      <w:pPr>
        <w:jc w:val="center"/>
        <w:rPr>
          <w:rFonts w:ascii="Times New Roman" w:hAnsi="Times New Roman" w:cs="Times New Roman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участия педагогов в профессиональных конкурсах: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района: победители – 4 чел.; призеры – 3 чел.; участники – 4 чел.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республики: победители – 1 чел.; призеры – 2 чел.; участники – 3 чел.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уровне России: победители – 7 чел.; призеры – 9 чел.; участники – 43 чел.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международном уровне: победители – 4 чел.; призеры – 7 чел.; участники –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чел.</w:t>
      </w:r>
    </w:p>
    <w:p w:rsidR="00F75181" w:rsidRPr="00770424" w:rsidRDefault="00F75181" w:rsidP="009A58AA">
      <w:pPr>
        <w:spacing w:after="0"/>
        <w:ind w:left="-1276"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Организация методической работы ДДТ «Радуга»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Организуя работу с педагогическими кадрами в учреждении, в этом учебном году проведено: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педагогических совета по темам: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r w:rsidRPr="00770424">
        <w:rPr>
          <w:rFonts w:ascii="Times New Roman" w:eastAsia="Calibri" w:hAnsi="Times New Roman" w:cs="Times New Roman"/>
          <w:sz w:val="24"/>
          <w:szCs w:val="24"/>
        </w:rPr>
        <w:t>Проблемы и перспективы работы МОБУ ДО ДДТ «Радуга» в новом учебном году.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70424">
        <w:rPr>
          <w:rFonts w:ascii="Times New Roman" w:eastAsia="Calibri" w:hAnsi="Times New Roman" w:cs="Times New Roman"/>
          <w:sz w:val="24"/>
          <w:szCs w:val="24"/>
        </w:rPr>
        <w:t>Нормативные документы</w:t>
      </w:r>
      <w:proofErr w:type="gramEnd"/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регламентирующие деятельность учреждений ДОД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70424">
        <w:rPr>
          <w:rFonts w:ascii="Times New Roman" w:eastAsia="Calibri" w:hAnsi="Times New Roman" w:cs="Times New Roman"/>
          <w:sz w:val="24"/>
          <w:szCs w:val="24"/>
        </w:rPr>
        <w:t>Мониторинг образовательной и педагогической  деятельности в УДО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70424">
        <w:rPr>
          <w:rFonts w:ascii="Times New Roman" w:eastAsia="Calibri" w:hAnsi="Times New Roman" w:cs="Times New Roman"/>
          <w:sz w:val="24"/>
          <w:szCs w:val="24"/>
        </w:rPr>
        <w:t>Результативность деятельности МОБУ ДО ДДТ «Радуга»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>5. Знакомство с порталом «Навигатор дополнительного образования детей Республики Башкортостан».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методических совета по темам: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Проблемы и перспективы работы МОБУ ДО ДДТ «Радуга» в новом учебном году.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r w:rsidRPr="00770424">
        <w:rPr>
          <w:rFonts w:ascii="Times New Roman" w:eastAsia="Calibri" w:hAnsi="Times New Roman" w:cs="Times New Roman"/>
        </w:rPr>
        <w:t>Работа с одаренными детьми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70424">
        <w:rPr>
          <w:rFonts w:ascii="Times New Roman" w:eastAsia="Calibri" w:hAnsi="Times New Roman" w:cs="Times New Roman"/>
          <w:sz w:val="24"/>
          <w:szCs w:val="24"/>
        </w:rPr>
        <w:t>Инновационная деятельность педагогов МОБУ ДО ДДТ «Радуга».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Подведение итогов МОБУ ДО ДДТ «Радуга».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ab/>
        <w:t xml:space="preserve">В подготовке и проведении Педагогического совета участвуют все основные педагоги. Для проведения Педагогических советов используются различные методики, например: КМД (коллективной </w:t>
      </w:r>
      <w:proofErr w:type="spellStart"/>
      <w:r w:rsidRPr="00770424">
        <w:rPr>
          <w:rFonts w:ascii="Times New Roman" w:eastAsia="Calibri" w:hAnsi="Times New Roman" w:cs="Times New Roman"/>
          <w:sz w:val="24"/>
          <w:szCs w:val="24"/>
        </w:rPr>
        <w:t>мыследеятельности</w:t>
      </w:r>
      <w:proofErr w:type="spellEnd"/>
      <w:r w:rsidRPr="00770424">
        <w:rPr>
          <w:rFonts w:ascii="Times New Roman" w:eastAsia="Calibri" w:hAnsi="Times New Roman" w:cs="Times New Roman"/>
          <w:sz w:val="24"/>
          <w:szCs w:val="24"/>
        </w:rPr>
        <w:t>), КСО (коллективного способа обучения), деловые и ролевые игры и т.п. Преобладающая  и наиболее эффективная форма проведения методического совета Дома творчества – «Мастер-класс», «Презентация передового педагогического опыта», практические семинары, конференции. Всего в этом году было дано 14 мастер-классов.</w:t>
      </w:r>
    </w:p>
    <w:p w:rsidR="00F75181" w:rsidRPr="00770424" w:rsidRDefault="00F75181" w:rsidP="00F7518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2020 – 2021 учебном году согласно перспективному плану прошли аттестацию 3 педагога ДДТ «Радуга» (высшая квалификационная категория – 2 человека, первая квалификационная категория – 1 человек).  Педагогами дополнительного образования оформлены портфолио, согласно перечня экспертных заключений по аттестации педагогических работников. </w:t>
      </w:r>
    </w:p>
    <w:p w:rsidR="00F75181" w:rsidRPr="00770424" w:rsidRDefault="00F75181" w:rsidP="00F7518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повышения квалификации работников были организованы следующие мероприятия: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курсы повышения квалификации педагогов;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практических открытых и показательных занятий педагогов;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посещение открытых семинаров и мастер- классов; 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составлен перспективный план ДДТ «Радуга» по повышению квалификации.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этом году методистами были организованы и проведены профессиональные конкурсы среди педагогов Дома творчества такие как: районный конкурс декоративно-прикладного искусства среди обучающихся и педагогов «Мастер - золотые руки», </w:t>
      </w:r>
      <w:r w:rsidRPr="00770424">
        <w:rPr>
          <w:rFonts w:ascii="Times New Roman" w:hAnsi="Times New Roman" w:cs="Times New Roman"/>
          <w:sz w:val="24"/>
          <w:szCs w:val="24"/>
        </w:rPr>
        <w:t>р</w:t>
      </w:r>
      <w:r w:rsidRPr="00770424">
        <w:rPr>
          <w:rFonts w:ascii="Times New Roman" w:eastAsia="Calibri" w:hAnsi="Times New Roman" w:cs="Times New Roman"/>
          <w:sz w:val="24"/>
          <w:szCs w:val="24"/>
        </w:rPr>
        <w:t>айонный дистанционный творческий конкурс «К нам стучится Новый год!»</w:t>
      </w:r>
      <w:r w:rsidRPr="00770424">
        <w:rPr>
          <w:rFonts w:ascii="Times New Roman" w:hAnsi="Times New Roman" w:cs="Times New Roman"/>
          <w:sz w:val="24"/>
          <w:szCs w:val="24"/>
        </w:rPr>
        <w:t>.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26BAE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педагогов за </w:t>
      </w:r>
      <w:r w:rsidR="00C2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F75181"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3"/>
        <w:gridCol w:w="2523"/>
        <w:gridCol w:w="2503"/>
        <w:gridCol w:w="2532"/>
      </w:tblGrid>
      <w:tr w:rsidR="00F751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F75181" w:rsidRPr="00770424" w:rsidTr="009A58AA">
        <w:trPr>
          <w:trHeight w:val="33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5181" w:rsidRPr="00770424" w:rsidTr="009A58A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AA" w:rsidRPr="00770424" w:rsidRDefault="009A58AA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5181" w:rsidRPr="00770424" w:rsidTr="009A58AA">
        <w:trPr>
          <w:trHeight w:val="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9A5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Р</w:t>
            </w:r>
            <w:r w:rsidR="009A58AA">
              <w:rPr>
                <w:rFonts w:ascii="Times New Roman" w:hAnsi="Times New Roman"/>
                <w:sz w:val="24"/>
                <w:szCs w:val="24"/>
              </w:rPr>
              <w:t>еспубликанский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181" w:rsidRPr="00770424" w:rsidTr="009A58A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9A58AA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ab/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непосредственном участии педагогов в методическом кабинете Дома творчества ежегодно пополняются тематические папки из газетных и журнальных публикаций по разным направлениям, информационно-тематические папки по вопросам программно-методического обеспечения, папки сценариев и методических разработок. Пополнение информационного банка новыми материалами происходит на основе анализа запросов педагогических работников и по мере поступления новых источников. Литература, аудио, видео материалы и др. информационно-методические источники находятся в свободном доступе, педагогические работники Дома творчества используют их при подготовке к педагогическим и методическим советам, учебным занятиям, воспитательным мероприятиям, при разработке методических материалов к программам, при подготовке к аттестации, родительским собраниям.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Совершенствование программно-методического обеспечения.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программного обеспечения работы учреждения способствовало целенаправленная  работа педагогов под руководством методистов. В соответствии с требованиями к содержанию и оформлению общеобразовательных программ дополнительного образования детей в ДДТ «Радуга» проведена  разработка новых, корректировка ранее созданных общеобразовательных программ, а также осуществлена их экспертиза. В результате чего было установлено, что  уровень и направленность реализуемых программ 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соответствует установленным требованиям.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реализуемые в Доме детского творчества,   в основном являются модифицированными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(37 программ).  Программы учитывают образовательные потребности и возрастные особенности детей. Преобладающими являются программы с реализацией от 1 года.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Таким образом, программное обеспечение учебного процесса отвечает целям и задачам деятельности Дома детского творчества «Радуга»  как пространства, на котором обучающимся создаются условия для свободного выбора сферы деятельности и реализации себя в творческом образовательном процессе. Основными формами контроля реализации общеобразовательных программ являются: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педагогический мониторинг знаний, умений и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объединениям, который осуществляется педагогами;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административный контроль: посещение занятий, мероприятий, проверка журналов;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полноты  реализации общеобразовательных программ.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Комплекс мероприятий в данном направлении позволил сделать вывод о том, что полнота реализации программ за учебный год по Дому творчества  в целом составило  93 %. Широкий спектр образовательных программ на данный момент достаточно в полном объёме удовлетворяет образовательные потребности социума. Мониторинг образовательного процесса в коллективах показал, что во всех объединениях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 успешно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освоили программный материал.</w:t>
      </w:r>
    </w:p>
    <w:p w:rsidR="00F75181" w:rsidRPr="00770424" w:rsidRDefault="00F75181" w:rsidP="00F751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0424">
        <w:rPr>
          <w:rFonts w:ascii="Times New Roman" w:eastAsia="Calibri" w:hAnsi="Times New Roman" w:cs="Times New Roman"/>
          <w:b/>
          <w:sz w:val="24"/>
          <w:szCs w:val="24"/>
        </w:rPr>
        <w:t>Направленности дополнительных образовательных программ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049"/>
        <w:gridCol w:w="2216"/>
        <w:gridCol w:w="2214"/>
      </w:tblGrid>
      <w:tr w:rsidR="00F75181" w:rsidRPr="00770424" w:rsidTr="00F75181">
        <w:trPr>
          <w:trHeight w:val="49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C278B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665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Физкульурно</w:t>
            </w:r>
            <w:proofErr w:type="spellEnd"/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C278B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932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дополнительных образовательных программ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620"/>
      </w:tblGrid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со сроком реализации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(%)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704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29 %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От 3 и более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Уровни реализации дополнит</w:t>
      </w:r>
      <w:r w:rsidR="00CA3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ельных образовательных программ</w:t>
      </w: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590"/>
      </w:tblGrid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в 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8 %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26BAE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F75181"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(полного)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</w:tbl>
    <w:p w:rsidR="00F75181" w:rsidRPr="00770424" w:rsidRDefault="00F75181" w:rsidP="00F751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Характеристика образовательного процесса.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осуществляет работу по 4 направленностям.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творческих объединениях 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25 кружко</w:t>
      </w:r>
      <w:r w:rsidR="00EE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объединениях  занимаются 665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Театральные и хореографические объединения затрагивают все категории детей: театральный коллектив «Ника» (Денисенко В.В.),  театральный коллектив «Созвездие» (Фролова Л.И.), хореографический ансамбль «Айседора» (Федотова И.В.), хореографический ансамбль «Очарование» (Иванова Л.И.),</w:t>
      </w:r>
      <w:r w:rsidRPr="00770424">
        <w:rPr>
          <w:rFonts w:ascii="Times New Roman" w:hAnsi="Times New Roman" w:cs="Times New Roman"/>
          <w:sz w:val="20"/>
          <w:szCs w:val="20"/>
        </w:rPr>
        <w:t xml:space="preserve"> </w:t>
      </w:r>
      <w:r w:rsidRPr="00770424">
        <w:rPr>
          <w:rFonts w:ascii="Times New Roman" w:hAnsi="Times New Roman" w:cs="Times New Roman"/>
          <w:sz w:val="24"/>
          <w:szCs w:val="24"/>
        </w:rPr>
        <w:t>хореографический коллектив «Радуга» (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З.А.), кружковое объединение «Хореография» (Шабанова А.А.)</w:t>
      </w:r>
    </w:p>
    <w:p w:rsidR="00F75181" w:rsidRPr="00770424" w:rsidRDefault="00F75181" w:rsidP="004908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театрального коллектива «Ника»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770424">
        <w:rPr>
          <w:rFonts w:ascii="Times New Roman" w:hAnsi="Times New Roman" w:cs="Times New Roman"/>
          <w:sz w:val="24"/>
          <w:szCs w:val="24"/>
        </w:rPr>
        <w:t>а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чтецов «Русь многоликая»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показали высокие результаты во </w:t>
      </w:r>
      <w:r w:rsidRPr="00770424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770424">
        <w:rPr>
          <w:rFonts w:ascii="Times New Roman" w:hAnsi="Times New Roman" w:cs="Times New Roman"/>
          <w:sz w:val="24"/>
          <w:szCs w:val="24"/>
        </w:rPr>
        <w:t xml:space="preserve"> Всероссийском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онлайн-конкурс</w:t>
      </w:r>
      <w:r w:rsidRPr="00770424">
        <w:rPr>
          <w:rFonts w:ascii="Times New Roman" w:hAnsi="Times New Roman" w:cs="Times New Roman"/>
          <w:sz w:val="24"/>
          <w:szCs w:val="24"/>
        </w:rPr>
        <w:t>е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детского и юношеского творчества «Таланты Башкортостана»</w:t>
      </w:r>
      <w:r w:rsidRPr="00770424">
        <w:rPr>
          <w:rFonts w:ascii="Times New Roman" w:hAnsi="Times New Roman" w:cs="Times New Roman"/>
          <w:sz w:val="24"/>
          <w:szCs w:val="24"/>
        </w:rPr>
        <w:t xml:space="preserve">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Хореографический ансамбль «Айседора» получил Диплом победителя </w:t>
      </w:r>
      <w:r w:rsidRPr="00770424">
        <w:rPr>
          <w:rFonts w:ascii="Times New Roman" w:hAnsi="Times New Roman" w:cs="Times New Roman"/>
          <w:sz w:val="24"/>
          <w:szCs w:val="24"/>
        </w:rPr>
        <w:t>Регионального фестиваля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детского и юношеского творчества «Путь к успеху», Диплом призера </w:t>
      </w:r>
      <w:r w:rsidRPr="00770424">
        <w:rPr>
          <w:rFonts w:ascii="Times New Roman" w:hAnsi="Times New Roman" w:cs="Times New Roman"/>
          <w:sz w:val="24"/>
          <w:szCs w:val="24"/>
        </w:rPr>
        <w:t>Открытого фестиваля-конкурса детских фольклорных коллективов «Крымский терем»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0424">
        <w:rPr>
          <w:rFonts w:ascii="Times New Roman" w:hAnsi="Times New Roman" w:cs="Times New Roman"/>
          <w:sz w:val="24"/>
          <w:szCs w:val="24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Образцовый хореографический ансамбль народного танца «Очарование» стал победителем </w:t>
      </w:r>
      <w:r w:rsidRPr="00770424">
        <w:rPr>
          <w:rFonts w:ascii="Times New Roman" w:hAnsi="Times New Roman" w:cs="Times New Roman"/>
          <w:sz w:val="24"/>
          <w:szCs w:val="24"/>
        </w:rPr>
        <w:t>Международного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770424">
        <w:rPr>
          <w:rFonts w:ascii="Times New Roman" w:hAnsi="Times New Roman" w:cs="Times New Roman"/>
          <w:sz w:val="24"/>
          <w:szCs w:val="24"/>
        </w:rPr>
        <w:t>а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хореографического искусства «В ритме танца 2020»</w:t>
      </w:r>
      <w:r w:rsidRPr="00770424">
        <w:rPr>
          <w:rFonts w:ascii="Times New Roman" w:hAnsi="Times New Roman" w:cs="Times New Roman"/>
          <w:sz w:val="24"/>
          <w:szCs w:val="24"/>
        </w:rPr>
        <w:t xml:space="preserve">. Обучающиеся хореографического коллектива «Радуга» стали победителями </w:t>
      </w:r>
      <w:r w:rsidRPr="0077042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770424">
        <w:rPr>
          <w:rFonts w:ascii="Times New Roman" w:hAnsi="Times New Roman" w:cs="Times New Roman"/>
          <w:sz w:val="24"/>
          <w:szCs w:val="24"/>
        </w:rPr>
        <w:t xml:space="preserve"> Всероссийского конкурса для детей и молодежи «Надежды России». Обучающиеся кружкового объединения «Хореография» стали призерами Международного конкурса-фестиваля «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АртНаследие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>».</w:t>
      </w:r>
    </w:p>
    <w:p w:rsidR="00CA3F26" w:rsidRDefault="00F75181" w:rsidP="004908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выставках, в которых принимают участие обучающиеся кружковых объединений ИЗО и ДПИ, можно увидеть многообразие направлений деятельности: лепка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глины,  рисунки в различных техниках, поделки из природного материала,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вышивка, аппликация из ткани, шерстяная акварель, джутовая филигрань, квиллинг. В этом учебном году педагоги совместно с обучающимися освоили новые техники творчества: папье-маше из ваты,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кинусайга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Высоких результатов достигли обучающиеся объединений: «Модница» (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Спевак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М.В.), «Акварель» (Макарова Н.Н.), «Рукодельница» (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Хабирова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З.А.).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 данных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кружковых объединений приняли активное участие в конкурсах российского, республиканского и районного уровней. Так, например, обучающиеся кружкового объединения «Модница» (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Спевак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>Открытого Республиканского фестиваля-конкурса театров детско-юношеской моды «Планета красоты»,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</w:t>
      </w:r>
      <w:r w:rsidRPr="0077042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0424">
        <w:rPr>
          <w:rFonts w:ascii="Times New Roman" w:hAnsi="Times New Roman" w:cs="Times New Roman"/>
          <w:sz w:val="24"/>
          <w:szCs w:val="24"/>
        </w:rPr>
        <w:t xml:space="preserve"> Международного конкурса-фестиваля «Территория успеха»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 кружкового объединения «Акварель» (Макарова Н.Н.)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>Всероссийского конкурса декоративно-прикладного творчества «Город мастеров»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победителями </w:t>
      </w:r>
      <w:r w:rsidRPr="00770424">
        <w:rPr>
          <w:rFonts w:ascii="Times New Roman" w:hAnsi="Times New Roman" w:cs="Times New Roman"/>
          <w:sz w:val="24"/>
          <w:szCs w:val="24"/>
        </w:rPr>
        <w:t>Всероссийского детского конкурса рисунков «Весна идет – весне дорогу!»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кружкового объединения «Рукодельница» (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Хабирова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З.А.)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>Районного конкурса «Мой край, навеки любимый»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Высокой активностью отличаются обучающиеся кружковых объединений: вокальный ансамбль «Звонкие голоса» (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А.Н.), вокальный ансамбль «Вдохновение» (Звягинцева М.В.), кружковое объединение «Непоседы» (Трофимова Ж.А.). Ни одно районное мероприятие не обходится без участия обучающихся данных кружковых объединений. Обучающиеся кружкового объединения «Непоседы»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разножанрового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патриотического фестиваля-конкурса, посвященного Дню Неизвестного солдата и Дню Героев Отечества «Живая память»,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</w:t>
      </w:r>
      <w:r w:rsidRPr="00770424">
        <w:rPr>
          <w:rFonts w:ascii="Times New Roman" w:hAnsi="Times New Roman" w:cs="Times New Roman"/>
          <w:sz w:val="24"/>
          <w:szCs w:val="24"/>
        </w:rPr>
        <w:t>Международного вокального конкурса «Звездный дождь».</w:t>
      </w:r>
    </w:p>
    <w:p w:rsidR="00F75181" w:rsidRPr="00770424" w:rsidRDefault="00CA3F26" w:rsidP="00CA3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75181"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Социально-педагогическую направленность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представляло 6 кружковых объединений  (150 человек). </w:t>
      </w:r>
      <w:r w:rsidR="00F75181" w:rsidRPr="00770424">
        <w:rPr>
          <w:rFonts w:ascii="Times New Roman" w:hAnsi="Times New Roman" w:cs="Times New Roman"/>
          <w:sz w:val="24"/>
          <w:szCs w:val="24"/>
        </w:rPr>
        <w:t xml:space="preserve">Обучающиеся кружкового объединения «Новое поколение» 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</w:t>
      </w:r>
      <w:proofErr w:type="spellEnd"/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 </w:t>
      </w:r>
      <w:r w:rsidR="00F75181" w:rsidRPr="00770424">
        <w:rPr>
          <w:rFonts w:ascii="Times New Roman" w:hAnsi="Times New Roman" w:cs="Times New Roman"/>
          <w:sz w:val="24"/>
          <w:szCs w:val="24"/>
        </w:rPr>
        <w:t>стали призерами Всероссийской викторины «Уроки безопасности», победителями Международной викторины для детей младшего школьного возраста «Здоровый и безопасный образ жизни». Обучающиеся кружкового объединения «</w:t>
      </w:r>
      <w:proofErr w:type="spellStart"/>
      <w:r w:rsidR="00F75181" w:rsidRPr="00770424">
        <w:rPr>
          <w:rFonts w:ascii="Times New Roman" w:hAnsi="Times New Roman" w:cs="Times New Roman"/>
          <w:sz w:val="24"/>
          <w:szCs w:val="24"/>
        </w:rPr>
        <w:t>Развивайка</w:t>
      </w:r>
      <w:proofErr w:type="spellEnd"/>
      <w:r w:rsidR="00F75181" w:rsidRPr="00770424">
        <w:rPr>
          <w:rFonts w:ascii="Times New Roman" w:hAnsi="Times New Roman" w:cs="Times New Roman"/>
          <w:sz w:val="24"/>
          <w:szCs w:val="24"/>
        </w:rPr>
        <w:t xml:space="preserve">» (Виноградова Т.В.) стали призерами Всероссийского детского конкурса рисунков и декоративно-прикладного творчества «Безопасная дорога», призерами Всероссийского детского конкурса рисунков по произведениям А.Л. </w:t>
      </w:r>
      <w:proofErr w:type="spellStart"/>
      <w:r w:rsidR="00F75181" w:rsidRPr="0077042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F75181" w:rsidRPr="00770424">
        <w:rPr>
          <w:rFonts w:ascii="Times New Roman" w:hAnsi="Times New Roman" w:cs="Times New Roman"/>
          <w:sz w:val="24"/>
          <w:szCs w:val="24"/>
        </w:rPr>
        <w:t>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0881"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Естественнонаучная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направленность - 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кружковых объединения (107 человек).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чертой работы кружковых объединений по-прежнему остается высокая результативность обучающихся в усвоении программного материала и активное участие в конкурсах различного уровня. Руководители кружковых объединений стали организаторами и инициаторами  районных экологических акций и мероприятий, экологических субботников. </w:t>
      </w:r>
      <w:r w:rsidRPr="00770424">
        <w:rPr>
          <w:rFonts w:ascii="Times New Roman" w:hAnsi="Times New Roman" w:cs="Times New Roman"/>
          <w:sz w:val="24"/>
          <w:szCs w:val="24"/>
        </w:rPr>
        <w:t>Обучающиеся кружкового объединения «Зимний сад» (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Алибаева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С.Ф.) стали призерами </w:t>
      </w:r>
      <w:r w:rsidRPr="00770424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Pr="00770424">
        <w:rPr>
          <w:rFonts w:ascii="Times New Roman" w:hAnsi="Times New Roman" w:cs="Times New Roman"/>
          <w:sz w:val="24"/>
          <w:szCs w:val="24"/>
        </w:rPr>
        <w:t xml:space="preserve"> Республиканского слета-конкурса юных экологов и лесоводов. Обучающиеся кружкового объединения «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Экоспас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>» (Погорелова С.Л.) стали призерами Всероссийского социального проекта «Экология глазами детей».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Туристско-краеведческая направленность –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3 кружковых объединения (42 обучающихся).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кружкового объединения «Литературное краеведение» (Попова Е.И.)</w:t>
      </w:r>
      <w:r w:rsidRPr="00770424">
        <w:rPr>
          <w:rFonts w:ascii="Times New Roman" w:hAnsi="Times New Roman" w:cs="Times New Roman"/>
          <w:sz w:val="24"/>
          <w:szCs w:val="24"/>
        </w:rPr>
        <w:t xml:space="preserve"> стали призерами Третьего республиканского литературного конкурса «Стольный град Уфа»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Обучающиеся кружкового объединения «Народные жемчужины» (Султанова Р.С.) стали призерами </w:t>
      </w:r>
      <w:r w:rsidRPr="00770424">
        <w:rPr>
          <w:rFonts w:ascii="Times New Roman" w:hAnsi="Times New Roman" w:cs="Times New Roman"/>
          <w:sz w:val="24"/>
          <w:szCs w:val="24"/>
        </w:rPr>
        <w:t>Онлайн-конкурса «Люби и знай свой край родной».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ребята данных кружковых объединений  </w:t>
      </w:r>
      <w:r w:rsidRPr="00770424">
        <w:rPr>
          <w:rFonts w:ascii="Times New Roman" w:eastAsia="Calibri" w:hAnsi="Times New Roman" w:cs="Times New Roman"/>
          <w:sz w:val="24"/>
          <w:szCs w:val="24"/>
        </w:rPr>
        <w:t>заняли призовые места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70424">
        <w:rPr>
          <w:rFonts w:ascii="Times New Roman" w:hAnsi="Times New Roman" w:cs="Times New Roman"/>
          <w:sz w:val="24"/>
          <w:szCs w:val="24"/>
        </w:rPr>
        <w:t xml:space="preserve">Межмуниципальной </w:t>
      </w:r>
      <w:r w:rsidRPr="00770424">
        <w:rPr>
          <w:rFonts w:ascii="Times New Roman" w:hAnsi="Times New Roman" w:cs="Times New Roman"/>
          <w:sz w:val="24"/>
          <w:szCs w:val="24"/>
        </w:rPr>
        <w:lastRenderedPageBreak/>
        <w:t>НПК, посвященной Году башкирского языка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770424">
        <w:rPr>
          <w:rFonts w:ascii="Times New Roman" w:hAnsi="Times New Roman" w:cs="Times New Roman"/>
          <w:sz w:val="24"/>
          <w:szCs w:val="24"/>
        </w:rPr>
        <w:t>Республиканской НПК «Аксаковские чтения», в Республиканском конкурсе научно-исследовательских работ «</w:t>
      </w:r>
      <w:r w:rsidRPr="0077042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70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Биишевские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чтения».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Образовательный процесс Дома творчества строится на основе ведущих принципов деятельности – индивидуализации и дифференциации процессов работы с детьми, творческого сотрудничества детей и взрослых, комплексного подхода к постановке и решению задач образования, воспитание и развитие личности, сочетание индивидуальных, групповых и массовых форм работы, индивидуального и коллективного творчества. Такой подход позволяет детям справляться с поставленными задачами, достигать успеха, что важно для поддержания интереса к занятиям. Наиболее действенным механизмом управления качеством образования является мониторинг. С 2009 года в Доме творчества существует система мониторинговых наблюдений. Оценивание обучающихся осуществляется педагогами преимущественно два раза в год через диагностику: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образовательных достижений (теоретическая подготовка), практическая подготовка,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личностные достижения (организационно – волевые качества), поведенческие качества, позволяющие определить уровень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личностных качеств обучающихся.   </w:t>
      </w:r>
    </w:p>
    <w:p w:rsidR="00F75181" w:rsidRPr="00770424" w:rsidRDefault="00F75181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26BAE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обучающихся за </w:t>
      </w:r>
      <w:r w:rsidR="00C2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2022 - 2023</w:t>
      </w:r>
      <w:r w:rsidR="00F75181"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490881" w:rsidRPr="00770424" w:rsidRDefault="00490881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60"/>
        <w:gridCol w:w="2540"/>
        <w:gridCol w:w="2523"/>
        <w:gridCol w:w="2548"/>
      </w:tblGrid>
      <w:tr w:rsidR="00F75181" w:rsidRPr="00770424" w:rsidTr="00490881">
        <w:trPr>
          <w:trHeight w:val="45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490881" w:rsidRPr="00770424" w:rsidTr="00490881">
        <w:trPr>
          <w:trHeight w:val="23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490881" w:rsidRDefault="00490881" w:rsidP="00A459B5">
            <w:pPr>
              <w:rPr>
                <w:rFonts w:ascii="Times New Roman" w:hAnsi="Times New Roman" w:cs="Times New Roman"/>
              </w:rPr>
            </w:pPr>
            <w:r w:rsidRPr="00490881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490881" w:rsidRDefault="00490881" w:rsidP="00A459B5">
            <w:pPr>
              <w:rPr>
                <w:rFonts w:ascii="Times New Roman" w:hAnsi="Times New Roman" w:cs="Times New Roman"/>
              </w:rPr>
            </w:pPr>
            <w:r w:rsidRPr="00490881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490881" w:rsidRDefault="00490881" w:rsidP="00A459B5">
            <w:pPr>
              <w:rPr>
                <w:rFonts w:ascii="Times New Roman" w:hAnsi="Times New Roman" w:cs="Times New Roman"/>
              </w:rPr>
            </w:pPr>
            <w:r w:rsidRPr="00490881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490881" w:rsidRDefault="00490881" w:rsidP="00A459B5">
            <w:pPr>
              <w:rPr>
                <w:rFonts w:ascii="Times New Roman" w:hAnsi="Times New Roman" w:cs="Times New Roman"/>
              </w:rPr>
            </w:pPr>
            <w:r w:rsidRPr="0049088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F75181" w:rsidRPr="00770424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181" w:rsidRPr="00490FF6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Высокой оценкой отметили родители создание педагогами психологически комфортной среды на занятиях: проявление доброжелательного отношения к детям (100%), взаимопонимание в контактах ребёнка с педагогом (97%), комфортность ребёнка в отношениях с педагогом и детьми объединения (96 %). Образовательный процесс в ДДТ «Радуга» в целом, по мнению родителей, заслуживает хорошей оценки, т.к. мероприятия воспитательного и познавательного характера, проводимые в ДДТ, полезны и интересны детям (97%). Образовательная среда учреждения способствует формированию достойного поведения детей (96%). </w:t>
      </w:r>
    </w:p>
    <w:p w:rsidR="00F75181" w:rsidRPr="00A0726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6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было </w:t>
      </w:r>
      <w:r w:rsidRPr="0048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проведено: 17 </w:t>
      </w:r>
      <w:r w:rsidRPr="006E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районных </w:t>
      </w:r>
      <w:r w:rsidRPr="004355A0">
        <w:rPr>
          <w:rFonts w:ascii="Times New Roman" w:eastAsia="Times New Roman" w:hAnsi="Times New Roman" w:cs="Times New Roman"/>
          <w:sz w:val="24"/>
          <w:szCs w:val="24"/>
          <w:lang w:eastAsia="ru-RU"/>
        </w:rPr>
        <w:t>и 380 школьных мероприятий, в том числе онлайн-мероприятий с охватом 7917 детей.</w:t>
      </w:r>
      <w:r w:rsidRPr="00B2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Традиционными районными </w:t>
      </w:r>
      <w:proofErr w:type="gramStart"/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мероприятиями,  в</w:t>
      </w:r>
      <w:proofErr w:type="gramEnd"/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принимают ежегодное активное участие наши педагоги и 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стали: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онлайн – формате: 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августовская конференция педагогов Стерлитамакского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Республики, конкурс «Педагог года», День матери, День Победы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защиты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C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2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очном формате: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овогоднее представление для одаренных детей,</w:t>
      </w:r>
      <w:r w:rsidRPr="0032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«День чистоты», </w:t>
      </w:r>
      <w:r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«Голубь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Сабантуй, День молодежи.</w:t>
      </w:r>
    </w:p>
    <w:p w:rsidR="00F75181" w:rsidRDefault="00F26BAE" w:rsidP="00F75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75181">
        <w:rPr>
          <w:rFonts w:ascii="Times New Roman" w:hAnsi="Times New Roman" w:cs="Times New Roman"/>
          <w:sz w:val="24"/>
          <w:szCs w:val="24"/>
        </w:rPr>
        <w:t>2021</w:t>
      </w:r>
      <w:r w:rsidR="00F75181" w:rsidRPr="001474CD">
        <w:rPr>
          <w:rFonts w:ascii="Times New Roman" w:hAnsi="Times New Roman" w:cs="Times New Roman"/>
          <w:sz w:val="24"/>
          <w:szCs w:val="24"/>
        </w:rPr>
        <w:t xml:space="preserve"> учебном году Дом детского творчества осуществлял план воспитательной работы согласно утвержденного учебно-воспитательного плана.</w:t>
      </w:r>
    </w:p>
    <w:p w:rsidR="00F75181" w:rsidRPr="00482348" w:rsidRDefault="00F75181" w:rsidP="00F75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Работа велась по основным направлениям деятельности: духовно-нравственное, гражданско-патриотическое, экологическое, интеллектуальное, работа с детьми </w:t>
      </w:r>
      <w:proofErr w:type="spellStart"/>
      <w:r w:rsidRPr="00797E7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797E70">
        <w:rPr>
          <w:rFonts w:ascii="Times New Roman" w:hAnsi="Times New Roman" w:cs="Times New Roman"/>
          <w:sz w:val="24"/>
          <w:szCs w:val="24"/>
        </w:rPr>
        <w:t xml:space="preserve"> поведения, с ограниченными возможностями, с детьми из неблагополучных семей, с детьми из малообеспеченных семей, работа по </w:t>
      </w:r>
      <w:proofErr w:type="spellStart"/>
      <w:r w:rsidRPr="00797E70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97E70">
        <w:rPr>
          <w:rFonts w:ascii="Times New Roman" w:hAnsi="Times New Roman" w:cs="Times New Roman"/>
          <w:sz w:val="24"/>
          <w:szCs w:val="24"/>
        </w:rPr>
        <w:t xml:space="preserve"> технологиям, работа с родителями. В рамках реализации воспитательного плана были проведен</w:t>
      </w:r>
      <w:r>
        <w:rPr>
          <w:rFonts w:ascii="Times New Roman" w:hAnsi="Times New Roman" w:cs="Times New Roman"/>
          <w:sz w:val="24"/>
          <w:szCs w:val="24"/>
        </w:rPr>
        <w:t xml:space="preserve">ы следующие мероприятия и акции: Всероссийская акция «Капля жизни», Всероссийская акция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Помоги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школьных фотографий», акции «Зеленая Башкирия» и «Зеленая Россия», онлайн-галерея «Правила дорожного движения»,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«Голубь мира», экологическая акция «Всемирный день чистоты </w:t>
      </w:r>
      <w:r w:rsidRPr="00FF2A07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СДЕЛАЕМ-2020» Единый урок по безопасности в сети «Интернет», </w:t>
      </w:r>
      <w:r w:rsidRPr="00825C71">
        <w:rPr>
          <w:rFonts w:ascii="Times New Roman" w:hAnsi="Times New Roman" w:cs="Times New Roman"/>
          <w:sz w:val="24"/>
          <w:szCs w:val="24"/>
        </w:rPr>
        <w:t xml:space="preserve">Всероссийский конкурс «Несу добро в ладошках», </w:t>
      </w:r>
      <w:proofErr w:type="spellStart"/>
      <w:r w:rsidRPr="00825C7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825C71">
        <w:rPr>
          <w:rFonts w:ascii="Times New Roman" w:hAnsi="Times New Roman" w:cs="Times New Roman"/>
          <w:sz w:val="24"/>
          <w:szCs w:val="24"/>
        </w:rPr>
        <w:t xml:space="preserve"> «Ура! Каникулы!», Всероссийский конкурс «Учитель здоровья -2020», </w:t>
      </w:r>
      <w:r w:rsidRPr="009E1C73">
        <w:rPr>
          <w:rFonts w:ascii="Times New Roman" w:hAnsi="Times New Roman" w:cs="Times New Roman"/>
          <w:sz w:val="24"/>
          <w:szCs w:val="24"/>
        </w:rPr>
        <w:t xml:space="preserve">экологический праздник «Синичкин день», районный конкурс рисунков «Я рисую мой Башкортостан», калейдоскоп </w:t>
      </w:r>
      <w:r>
        <w:rPr>
          <w:rFonts w:ascii="Times New Roman" w:hAnsi="Times New Roman" w:cs="Times New Roman"/>
          <w:sz w:val="24"/>
          <w:szCs w:val="24"/>
        </w:rPr>
        <w:t>творчески</w:t>
      </w:r>
      <w:r w:rsidRPr="00505D0F">
        <w:rPr>
          <w:rFonts w:ascii="Times New Roman" w:hAnsi="Times New Roman" w:cs="Times New Roman"/>
          <w:sz w:val="24"/>
          <w:szCs w:val="24"/>
        </w:rPr>
        <w:t xml:space="preserve">х мастер-классов «Я сделаю для мамы праздник»,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«За все тебя благодарю», онлайн-концерт ко Дню Матери, Всероссийская акция «СТОП ВИЧ/СПИД», ряд мероприятий к Международному дню инвалидов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23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0602">
        <w:rPr>
          <w:rFonts w:ascii="Times New Roman" w:hAnsi="Times New Roman" w:cs="Times New Roman"/>
          <w:sz w:val="24"/>
          <w:szCs w:val="24"/>
        </w:rPr>
        <w:t>фотомарафон #</w:t>
      </w:r>
      <w:proofErr w:type="spellStart"/>
      <w:r w:rsidRPr="00030602">
        <w:rPr>
          <w:rFonts w:ascii="Times New Roman" w:hAnsi="Times New Roman" w:cs="Times New Roman"/>
          <w:sz w:val="24"/>
          <w:szCs w:val="24"/>
        </w:rPr>
        <w:t>Я_и_Дед_Мороз</w:t>
      </w:r>
      <w:proofErr w:type="spellEnd"/>
      <w:r w:rsidRPr="00030602">
        <w:rPr>
          <w:rFonts w:ascii="Times New Roman" w:hAnsi="Times New Roman" w:cs="Times New Roman"/>
          <w:sz w:val="24"/>
          <w:szCs w:val="24"/>
        </w:rPr>
        <w:t xml:space="preserve">, </w:t>
      </w:r>
      <w:r w:rsidRPr="00B32405">
        <w:rPr>
          <w:rFonts w:ascii="Times New Roman" w:hAnsi="Times New Roman" w:cs="Times New Roman"/>
          <w:sz w:val="24"/>
          <w:szCs w:val="24"/>
        </w:rPr>
        <w:t xml:space="preserve">фестиваль снега и льда, </w:t>
      </w:r>
      <w:r w:rsidRPr="008C3098">
        <w:rPr>
          <w:rFonts w:ascii="Times New Roman" w:hAnsi="Times New Roman" w:cs="Times New Roman"/>
          <w:sz w:val="24"/>
          <w:szCs w:val="24"/>
        </w:rPr>
        <w:t xml:space="preserve">фестиваль-марафон #МОЯМУЗЫКА, </w:t>
      </w:r>
      <w:r w:rsidRPr="006620E3">
        <w:rPr>
          <w:rFonts w:ascii="Times New Roman" w:hAnsi="Times New Roman" w:cs="Times New Roman"/>
          <w:sz w:val="24"/>
          <w:szCs w:val="24"/>
        </w:rPr>
        <w:t xml:space="preserve">игровая программа «Танцы народов мира», 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 Всемирный день «Спасибо», 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НашиЗащитники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, </w:t>
      </w:r>
      <w:r w:rsidRPr="00A031CD">
        <w:rPr>
          <w:rFonts w:ascii="Times New Roman" w:hAnsi="Times New Roman" w:cs="Times New Roman"/>
          <w:sz w:val="24"/>
          <w:szCs w:val="24"/>
        </w:rPr>
        <w:t xml:space="preserve">праздник «Масленица», районный конкурс «А ну-ка, девушки», районный </w:t>
      </w:r>
      <w:r>
        <w:rPr>
          <w:rFonts w:ascii="Times New Roman" w:hAnsi="Times New Roman" w:cs="Times New Roman"/>
          <w:sz w:val="24"/>
          <w:szCs w:val="24"/>
        </w:rPr>
        <w:t>праздник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байрамы», </w:t>
      </w:r>
      <w:r w:rsidRPr="00AD6386">
        <w:rPr>
          <w:rFonts w:ascii="Times New Roman" w:hAnsi="Times New Roman" w:cs="Times New Roman"/>
          <w:sz w:val="24"/>
          <w:szCs w:val="24"/>
        </w:rPr>
        <w:t xml:space="preserve">выставка «Рисуем здоровье», акция «Поменяй сигарету на конфету», ряд мероприятий ко Дню космонавтики, акция «Выйди сам и позови соседа», этно-игра «Что народный костюм – то праздник»,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национального костюма», </w:t>
      </w:r>
      <w:r w:rsidRPr="00AD6386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DB231D">
        <w:rPr>
          <w:rFonts w:ascii="Times New Roman" w:hAnsi="Times New Roman" w:cs="Times New Roman"/>
          <w:sz w:val="24"/>
          <w:szCs w:val="24"/>
        </w:rPr>
        <w:t xml:space="preserve">Мужества, «День Победы», </w:t>
      </w:r>
      <w:r>
        <w:rPr>
          <w:rFonts w:ascii="Times New Roman" w:hAnsi="Times New Roman" w:cs="Times New Roman"/>
          <w:sz w:val="24"/>
          <w:szCs w:val="24"/>
        </w:rPr>
        <w:t xml:space="preserve">акция «Окна Победы», </w:t>
      </w:r>
      <w:r w:rsidRPr="00AD6386">
        <w:rPr>
          <w:rFonts w:ascii="Times New Roman" w:hAnsi="Times New Roman" w:cs="Times New Roman"/>
          <w:sz w:val="24"/>
          <w:szCs w:val="24"/>
        </w:rPr>
        <w:t xml:space="preserve">выставка «Охрана труда глазами детей», </w:t>
      </w:r>
      <w:r w:rsidRPr="00DB231D">
        <w:rPr>
          <w:rFonts w:ascii="Times New Roman" w:hAnsi="Times New Roman" w:cs="Times New Roman"/>
          <w:sz w:val="24"/>
          <w:szCs w:val="24"/>
        </w:rPr>
        <w:t>онлайн – мероприятие День пионерии, Выпускной объединения «</w:t>
      </w:r>
      <w:proofErr w:type="spellStart"/>
      <w:r w:rsidRPr="00DB231D">
        <w:rPr>
          <w:rFonts w:ascii="Times New Roman" w:hAnsi="Times New Roman" w:cs="Times New Roman"/>
          <w:sz w:val="24"/>
          <w:szCs w:val="24"/>
        </w:rPr>
        <w:t>Развивайка</w:t>
      </w:r>
      <w:proofErr w:type="spellEnd"/>
      <w:r w:rsidRPr="00DB231D">
        <w:rPr>
          <w:rFonts w:ascii="Times New Roman" w:hAnsi="Times New Roman" w:cs="Times New Roman"/>
          <w:sz w:val="24"/>
          <w:szCs w:val="24"/>
        </w:rPr>
        <w:t>», «Детский Сабантуй»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 и обучающиеся активно сотрудничали с общероссийской общественно- государственной детско-юношеской организацией «Российское движение школьников</w:t>
      </w:r>
      <w:r w:rsidRPr="00482348">
        <w:rPr>
          <w:rFonts w:ascii="Times New Roman" w:hAnsi="Times New Roman" w:cs="Times New Roman"/>
          <w:sz w:val="24"/>
          <w:szCs w:val="24"/>
        </w:rPr>
        <w:t xml:space="preserve">» проведены ряд мероприятий ко Дню сказки, День умников День Земли,  поэтический марафон </w:t>
      </w:r>
      <w:r>
        <w:rPr>
          <w:rFonts w:ascii="Times New Roman" w:hAnsi="Times New Roman" w:cs="Times New Roman"/>
          <w:sz w:val="24"/>
          <w:szCs w:val="24"/>
        </w:rPr>
        <w:t>«Сказ от сердца и души о том, как мамы хороши» и проведена онлайн-смена по личностному развитию «Я – лидер»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смена «Скорая помощь в выборе профессий», «Я – лидер») и др.</w:t>
      </w:r>
      <w:r w:rsidRPr="009E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обучающиеся принимали участие в первом районном онлайн – форуме РДШ «Актив», в рамках которого педагоги Дома детского творчества провели онлайн – смену по личностному развитию «Я – лидер!». </w:t>
      </w:r>
      <w:r w:rsidRPr="000E4952">
        <w:rPr>
          <w:rFonts w:ascii="Times New Roman" w:hAnsi="Times New Roman" w:cs="Times New Roman"/>
          <w:sz w:val="24"/>
          <w:szCs w:val="24"/>
        </w:rPr>
        <w:t xml:space="preserve">Действует клуб «Добрых сердец» в рамках, которого обучающиеся школ оказывают различную шефскую помощь ветеранам ВОВ и </w:t>
      </w:r>
      <w:r w:rsidRPr="00797E70">
        <w:rPr>
          <w:rFonts w:ascii="Times New Roman" w:hAnsi="Times New Roman" w:cs="Times New Roman"/>
          <w:sz w:val="24"/>
          <w:szCs w:val="24"/>
        </w:rPr>
        <w:t xml:space="preserve">ветеранам труда. </w:t>
      </w:r>
      <w:r w:rsidRPr="00482348">
        <w:rPr>
          <w:rFonts w:ascii="Times New Roman" w:hAnsi="Times New Roman" w:cs="Times New Roman"/>
          <w:sz w:val="24"/>
          <w:szCs w:val="24"/>
        </w:rPr>
        <w:t>Также обучающиеся и педагоги участвовали в спортивных мероприятиях, таких как спорт</w:t>
      </w:r>
      <w:r w:rsidRPr="00B32405">
        <w:rPr>
          <w:rFonts w:ascii="Times New Roman" w:hAnsi="Times New Roman" w:cs="Times New Roman"/>
          <w:sz w:val="24"/>
          <w:szCs w:val="24"/>
        </w:rPr>
        <w:t xml:space="preserve">ивный фестиваль – Новогодние семейные игры 2021», </w:t>
      </w:r>
      <w:r>
        <w:rPr>
          <w:rFonts w:ascii="Times New Roman" w:hAnsi="Times New Roman" w:cs="Times New Roman"/>
          <w:sz w:val="24"/>
          <w:szCs w:val="24"/>
        </w:rPr>
        <w:t xml:space="preserve">День зимних игр», сдача норм ГТО, </w:t>
      </w:r>
      <w:r w:rsidRPr="00482348">
        <w:rPr>
          <w:rFonts w:ascii="Times New Roman" w:hAnsi="Times New Roman" w:cs="Times New Roman"/>
          <w:sz w:val="24"/>
          <w:szCs w:val="24"/>
        </w:rPr>
        <w:t>показав хорошую физическую подготовку.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Высокой оценкой отметили родители создание педагогами психологически комфортной среды на занятиях: проявление доброжелательного отношения к детям (100%), взаимопонимание в контактах ребёнка с педагогом (96%), комфортность ребёнка в отношениях с педагогом и детьми объединения (97 %). Образовательный процесс в ДДТ «Радуга» в целом, по мнению родителей, заслуживает хорошей оценки, т.к. мероприятия воспитательного и познавательного характера, проводимые в ДДТ, полезны и интересны детям (92%). Образовательная среда учреждения способствует формированию достойного поведения детей (95%). </w:t>
      </w:r>
    </w:p>
    <w:p w:rsidR="00F75181" w:rsidRDefault="00CA3F26" w:rsidP="00490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F75181">
        <w:rPr>
          <w:rFonts w:ascii="Times New Roman" w:hAnsi="Times New Roman"/>
          <w:b/>
          <w:sz w:val="24"/>
          <w:szCs w:val="24"/>
        </w:rPr>
        <w:t>. Анализ материально-технического обеспечения</w:t>
      </w:r>
    </w:p>
    <w:p w:rsidR="00F75181" w:rsidRDefault="00F75181" w:rsidP="00F7518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Общая площадь здания Дома творчества составляет 2 220,7 кв. м., здание учреждения  и территория  благоустроены. Материально-техническая база учреждения </w:t>
      </w:r>
      <w:r>
        <w:rPr>
          <w:rFonts w:ascii="Times New Roman" w:hAnsi="Times New Roman"/>
          <w:sz w:val="24"/>
          <w:szCs w:val="24"/>
        </w:rPr>
        <w:lastRenderedPageBreak/>
        <w:t xml:space="preserve">является фундаментом для осуществления образовательных задач.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 ДДТ «Радуга»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3149, Республика Башкортостан, Стерлитамакский район, с. Большой Куганак, ул. Ленина, д.2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а..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двухэтажное. Общая площадь здания составляет 2220,7кв.м. Здание является отдельно стоящим. Здание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огнестойкости, стены – кирпичные, перегородки – кирпичные, перекрытия – железобетонные сборные, крыша совмещенная рулонная, полы – бетонные, покрытые линолеумом. Здание находится в муниципальной собственности. 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483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spellStart"/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4908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4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-1 </w:t>
      </w: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tabs>
          <w:tab w:val="left" w:pos="1988"/>
          <w:tab w:val="left" w:pos="2868"/>
          <w:tab w:val="left" w:pos="4659"/>
          <w:tab w:val="left" w:pos="5537"/>
          <w:tab w:val="left" w:pos="6851"/>
          <w:tab w:val="left" w:pos="8604"/>
        </w:tabs>
        <w:spacing w:after="0" w:line="237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(180 посадочных мест) -1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5181" w:rsidRPr="00490881" w:rsidRDefault="00F75181" w:rsidP="00490881">
      <w:pPr>
        <w:pStyle w:val="a4"/>
        <w:numPr>
          <w:ilvl w:val="0"/>
          <w:numId w:val="3"/>
        </w:numPr>
        <w:tabs>
          <w:tab w:val="left" w:pos="1988"/>
          <w:tab w:val="left" w:pos="2868"/>
          <w:tab w:val="left" w:pos="4659"/>
          <w:tab w:val="left" w:pos="5537"/>
          <w:tab w:val="left" w:pos="6851"/>
          <w:tab w:val="left" w:pos="8604"/>
        </w:tabs>
        <w:spacing w:after="0" w:line="237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диско-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-1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5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8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</w:p>
    <w:p w:rsidR="00F75181" w:rsidRDefault="00F75181" w:rsidP="00F7518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собиями.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F75181" w:rsidRDefault="00490881" w:rsidP="00F75181">
      <w:pPr>
        <w:tabs>
          <w:tab w:val="left" w:pos="1546"/>
          <w:tab w:val="left" w:pos="2030"/>
          <w:tab w:val="left" w:pos="2503"/>
          <w:tab w:val="left" w:pos="3579"/>
          <w:tab w:val="left" w:pos="5515"/>
          <w:tab w:val="left" w:pos="6797"/>
          <w:tab w:val="left" w:pos="8692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ДДТ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7518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це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тр, 1</w:t>
      </w:r>
      <w:r w:rsidR="00F75181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A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</w:t>
      </w:r>
      <w:r w:rsidR="00F7518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F7518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518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меющая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7518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="00F751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о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F751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литер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518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F7518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="00F7518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нащ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ринт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181" w:rsidRDefault="00F75181" w:rsidP="00F75181">
      <w:pPr>
        <w:tabs>
          <w:tab w:val="left" w:pos="1546"/>
          <w:tab w:val="left" w:pos="2030"/>
          <w:tab w:val="left" w:pos="2503"/>
          <w:tab w:val="left" w:pos="3579"/>
          <w:tab w:val="left" w:pos="5515"/>
          <w:tab w:val="left" w:pos="6797"/>
          <w:tab w:val="left" w:pos="8692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кружкового объединения «Модница» имею</w:t>
      </w:r>
      <w:r w:rsidR="00CA3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семь ножных швейных машинок, одна электрическая </w:t>
      </w:r>
      <w:proofErr w:type="spellStart"/>
      <w:r w:rsidR="00CA3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машнка</w:t>
      </w:r>
      <w:proofErr w:type="spellEnd"/>
      <w:r w:rsidR="00CA3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мероприятий и концертов имеется музыкальная аппаратура.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последний год материально-техническая база не только сохранена, но и имеет положительную динамику развития. Основными направлениями административно- хозяйственной работы учреждения являются: - хозяйственная деятельность; - материально-техническое обеспечение учебного процесса; - обеспечение режима здоровых и безопасных условий труда и учебы. По этим направлениям проведена следующая работа: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Организованы теплоснабжение, электроснабжение, холодное водо</w:t>
      </w:r>
      <w:r w:rsidR="00A569CF">
        <w:rPr>
          <w:rFonts w:ascii="Times New Roman" w:hAnsi="Times New Roman"/>
          <w:sz w:val="24"/>
          <w:szCs w:val="24"/>
        </w:rPr>
        <w:t>снабжение, телефонная связь  здания</w:t>
      </w:r>
      <w:r>
        <w:rPr>
          <w:rFonts w:ascii="Times New Roman" w:hAnsi="Times New Roman"/>
          <w:sz w:val="24"/>
          <w:szCs w:val="24"/>
        </w:rPr>
        <w:t xml:space="preserve"> учреждения.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Проведены косметический ремонт и генеральная уборка  здания.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3.Техническое и санитарно-г</w:t>
      </w:r>
      <w:r w:rsidR="00A569CF">
        <w:rPr>
          <w:rFonts w:ascii="Times New Roman" w:hAnsi="Times New Roman"/>
          <w:sz w:val="24"/>
          <w:szCs w:val="24"/>
        </w:rPr>
        <w:t>игиеническое обслуживание здания</w:t>
      </w:r>
      <w:r>
        <w:rPr>
          <w:rFonts w:ascii="Times New Roman" w:hAnsi="Times New Roman"/>
          <w:sz w:val="24"/>
          <w:szCs w:val="24"/>
        </w:rPr>
        <w:t xml:space="preserve"> проводится в соответствии с нормативами материально-техническое обеспечение учебного процесса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Организован вывоз и утилизация твердых бытовых отходов.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Проводятся мероприятия по дезинсекции и дератизации помещений.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Организовано техническое обслуживание всех систем безопасности функционирования учреждения.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Пройдено обучение с дальнейшей проверкой знаний администрации по охране труда, по пожарно-техническому минимуму, ответственных за эксплуатацию тепловых установок, ответственного за эксплуатацию электроустановок.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Проведена подготовка теплового хозяйства к отопительному сезону в соответствии с техническими требованиями </w:t>
      </w:r>
      <w:proofErr w:type="spellStart"/>
      <w:r>
        <w:rPr>
          <w:rFonts w:ascii="Times New Roman" w:hAnsi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Проведен технический осмотр и перезарядка огнетушителей.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ab/>
        <w:t>В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-т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хни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аза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яет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чить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color w:val="000009"/>
          <w:spacing w:val="18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дение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уче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оц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pacing w:val="18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рам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9"/>
          <w:spacing w:val="18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еа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емых</w:t>
      </w:r>
      <w:r>
        <w:rPr>
          <w:rFonts w:ascii="Times New Roman" w:eastAsia="Times New Roman" w:hAnsi="Times New Roman" w:cs="Times New Roman"/>
          <w:color w:val="000009"/>
          <w:spacing w:val="18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ем 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рамм.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181" w:rsidRDefault="00CA3F26" w:rsidP="00F75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</w:t>
      </w:r>
      <w:r w:rsidR="00F75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выводы по</w:t>
      </w:r>
      <w:r w:rsidR="00F7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</w:t>
      </w:r>
      <w:r w:rsidR="00C2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 МОБУ ДО ДДТ «Радуга» за 2022-2023</w:t>
      </w:r>
      <w:r w:rsidR="00F75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 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Количественный состав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учебного года остается стабильным.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Количество обучающихся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звена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преобладающим.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Повысилась средняя посещаемость учебных занятий.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Число обучающихся с высоким уровнем освоения программ остается стабильным.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Продолжает усовершенствоваться работа с одаренными детьми.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Проведена организационная работа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привлечению детей с ОВЗ.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Повысилась активность обучающихся  участия в конкурсах и мероприятиях различного уровня.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Повысилось качество проведения культурно-массовых мероприятий.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Продолжает совершенствоваться работа с родителями обучающимися.</w:t>
      </w: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490881" w:rsidRDefault="00490881" w:rsidP="00F75181">
      <w:pPr>
        <w:rPr>
          <w:rFonts w:ascii="Arial" w:eastAsia="Arial" w:hAnsi="Arial" w:cs="Arial"/>
          <w:sz w:val="20"/>
          <w:szCs w:val="20"/>
          <w:lang w:eastAsia="ru-RU"/>
        </w:rPr>
        <w:sectPr w:rsidR="00490881" w:rsidSect="00AE438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lastRenderedPageBreak/>
        <w:t>Утверждены</w:t>
      </w:r>
    </w:p>
    <w:p w:rsidR="003670AA" w:rsidRPr="00490881" w:rsidRDefault="003670AA" w:rsidP="003670AA">
      <w:pPr>
        <w:spacing w:after="0" w:line="37" w:lineRule="exact"/>
        <w:rPr>
          <w:rFonts w:ascii="Times New Roman" w:eastAsia="Times New Roman" w:hAnsi="Times New Roman" w:cs="Times New Roman"/>
          <w:lang w:eastAsia="ru-RU"/>
        </w:rPr>
      </w:pP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приказом Министерства образования</w:t>
      </w: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и науки Российской Федерации</w:t>
      </w: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от 10 декабря 2013 г. N 1324</w:t>
      </w:r>
    </w:p>
    <w:p w:rsidR="003670AA" w:rsidRPr="00490881" w:rsidRDefault="003670AA" w:rsidP="003670AA">
      <w:pPr>
        <w:spacing w:after="0" w:line="185" w:lineRule="exact"/>
        <w:rPr>
          <w:rFonts w:ascii="Times New Roman" w:eastAsia="Times New Roman" w:hAnsi="Times New Roman" w:cs="Times New Roman"/>
          <w:lang w:eastAsia="ru-RU"/>
        </w:rPr>
      </w:pPr>
    </w:p>
    <w:p w:rsidR="003670AA" w:rsidRPr="00490881" w:rsidRDefault="003670AA" w:rsidP="004908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ПОКАЗАТЕЛИ</w:t>
      </w:r>
    </w:p>
    <w:p w:rsidR="003670AA" w:rsidRPr="00490881" w:rsidRDefault="003670AA" w:rsidP="004908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ДЕЯТЕЛЬНОСТИ МОБУ ДО ДДТ «РАДУГА» СТЕРЛИТАМАКСКОГО РАЙОНА,</w:t>
      </w:r>
    </w:p>
    <w:p w:rsidR="003670AA" w:rsidRPr="00490881" w:rsidRDefault="003670AA" w:rsidP="003670AA">
      <w:pPr>
        <w:spacing w:after="0" w:line="0" w:lineRule="atLeast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ПОДЛЕЖАЩЕЙ САМООБСЛЕДОВАНИЮ за 2021 год</w:t>
      </w:r>
    </w:p>
    <w:p w:rsidR="003670AA" w:rsidRPr="00490881" w:rsidRDefault="003670AA" w:rsidP="003670AA">
      <w:pPr>
        <w:spacing w:after="0" w:line="19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82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135"/>
        <w:gridCol w:w="7331"/>
        <w:gridCol w:w="1640"/>
        <w:gridCol w:w="580"/>
      </w:tblGrid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26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N п/п</w:t>
            </w:r>
          </w:p>
        </w:tc>
        <w:tc>
          <w:tcPr>
            <w:tcW w:w="7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290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Показатели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Единица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5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5"/>
                <w:lang w:eastAsia="ru-RU"/>
              </w:rPr>
              <w:t>1.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Образовательная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C278B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932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дошкольного возраста (3 - 7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81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364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1.1.3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C278B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385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1.1.4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102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 учащихся, обучающихся по образовательным 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1.3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занимающихся в 2-х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203 человек</w:t>
            </w:r>
          </w:p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/21%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 более объединениях (кружках, секциях, клубах), в общей численности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1.4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с применением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46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1.5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по 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программам для детей с выдающимися способностями, в общей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1.6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по 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программам,  направленным  на  работу  с  детьми  с  особыми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потребностями в образовании, в общей численности учащихся, в том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6 человек/0,6%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9 человек/0,9%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1.6.3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Дети-мигранты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1.6.4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1.7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занимающихся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302 человек/31,2%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учебно-исследовательской, проектной деятельностью, в общей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1.8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принявших участие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667 человек/68,9%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 массовых мероприятиях (конкурсы, соревнования, фестивали,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конференции), в общей численности 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225 человек/23,2%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102 человек/10,5%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3670AA">
      <w:pPr>
        <w:spacing w:after="0" w:line="201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86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104"/>
        <w:gridCol w:w="3318"/>
        <w:gridCol w:w="3914"/>
        <w:gridCol w:w="1740"/>
        <w:gridCol w:w="579"/>
      </w:tblGrid>
      <w:tr w:rsidR="003670AA" w:rsidRPr="00490881" w:rsidTr="00490881">
        <w:trPr>
          <w:trHeight w:val="24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1.8.3</w:t>
            </w:r>
          </w:p>
        </w:tc>
        <w:tc>
          <w:tcPr>
            <w:tcW w:w="3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257 человек/26,6%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83 человек/8,6%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1.9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- победителей 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406 человек/42%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призеров массовых мероприятий (конкурсы, соревнования, фестивали,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46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конференции), в общей численности учащихся,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98 человек/10,1%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39 человек/4%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  0 человек/0%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156 человек/16,1%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76 человек/7,9%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участвующих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98 человек/10,1%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образовательных и социальных проектах, в общей численности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учащихся, в том 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Муниципального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59 человек/6,1%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26 человек/2,7%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Межрегионального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человек0/%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13 человек/1,3%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массовых мероприятий, проведенных образовательной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38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организацией, в том 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38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0 единицы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1.12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40 человек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1.13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30 человек/75%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работников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1.14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22 человек/55%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высшее образование педагогической направленности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1.15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10 человек/25%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среднее профессиональное образование, в общей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1.16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 человек/4%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среднее профессиональное образование педагогической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6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6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направленности (профиля), в общей численности педагогических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работников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28 человек/70%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которым по результатам аттестации присвоена квалификационная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категория, в общей численности педагогических работников, в 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Высшая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19 человек/47,5%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Первая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9 человек/22,5%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40 человек/100%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работы которых составляет: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До 5 лет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4 человека/10%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Свыше 30 лет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11 человек/27,5%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1.19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4 человек/10%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1.20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12 человек/30%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3670AA">
      <w:pPr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86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311"/>
        <w:gridCol w:w="1640"/>
      </w:tblGrid>
      <w:tr w:rsidR="003670AA" w:rsidRPr="00490881" w:rsidTr="00490881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1.21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36 человек</w:t>
            </w:r>
          </w:p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/90%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6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6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профилю педагогической деятельности или иной осуществляемой 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образовательной организации деятельности, в общей численности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1.22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специалистов,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4 человек/10%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обеспечивающих методическую деятельность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организации, в общей численности сотрудников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1.23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публикаций, подготовленных педагогическими 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образовательной организации: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1.23.1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За 3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111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1.23.2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За отчетный период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64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1.24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 в  организации  дополнительного  образования  системы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психолого-педагогической  поддержки  одаренных  детей,  иных  групп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детей, требующих повышенного педагогического внимания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5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5"/>
                <w:lang w:eastAsia="ru-RU"/>
              </w:rPr>
              <w:t>2.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Инфраструктура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2.2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помещений для осуществления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8 единиц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деятельности,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6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Лаборатория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Мастерская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2.2.4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Танцевальный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2.2.5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2.2.6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Бассейн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2.3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помещений для организации досуговой деятельности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Единиц</w:t>
            </w:r>
          </w:p>
        </w:tc>
      </w:tr>
      <w:tr w:rsidR="003670AA" w:rsidRPr="00490881" w:rsidTr="00490881">
        <w:trPr>
          <w:trHeight w:val="24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Актовый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Концертный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Игровое помещение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2.4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Нет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2.5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 в  образовательной  организации  системы  электронного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документооборота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2.6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2.6.1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обеспечением возможности работы на стационарных компьютерах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или использования переносных компьютеров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С </w:t>
            </w:r>
            <w:proofErr w:type="spellStart"/>
            <w:r w:rsidRPr="00490881">
              <w:rPr>
                <w:rFonts w:ascii="Times New Roman" w:eastAsia="Arial" w:hAnsi="Times New Roman" w:cs="Times New Roman"/>
                <w:lang w:eastAsia="ru-RU"/>
              </w:rPr>
              <w:t>медиатекой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2.6.4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выходом в Интернет с компьютеров, расположенных в помещении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библиотеки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2.6.5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2.7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которым обеспечена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возможность пользоваться широкополосным Интернетом (не менее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Мб/с), в общей 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F75181">
      <w:pPr>
        <w:rPr>
          <w:rFonts w:ascii="Times New Roman" w:hAnsi="Times New Roman" w:cs="Times New Roman"/>
        </w:rPr>
      </w:pPr>
    </w:p>
    <w:p w:rsidR="00F75181" w:rsidRPr="00490881" w:rsidRDefault="00F75181">
      <w:pPr>
        <w:rPr>
          <w:rFonts w:ascii="Times New Roman" w:hAnsi="Times New Roman" w:cs="Times New Roman"/>
        </w:rPr>
      </w:pPr>
    </w:p>
    <w:sectPr w:rsidR="00F75181" w:rsidRPr="00490881" w:rsidSect="004908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C3F0185"/>
    <w:multiLevelType w:val="hybridMultilevel"/>
    <w:tmpl w:val="118452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1B"/>
    <w:rsid w:val="00033CA5"/>
    <w:rsid w:val="00281BA9"/>
    <w:rsid w:val="003670AA"/>
    <w:rsid w:val="003810A1"/>
    <w:rsid w:val="00397B5F"/>
    <w:rsid w:val="004019D3"/>
    <w:rsid w:val="00490881"/>
    <w:rsid w:val="0052617C"/>
    <w:rsid w:val="0071743E"/>
    <w:rsid w:val="00722D4B"/>
    <w:rsid w:val="008561D0"/>
    <w:rsid w:val="008D091B"/>
    <w:rsid w:val="0097107B"/>
    <w:rsid w:val="009A58AA"/>
    <w:rsid w:val="00A459B5"/>
    <w:rsid w:val="00A55529"/>
    <w:rsid w:val="00A569CF"/>
    <w:rsid w:val="00AE438E"/>
    <w:rsid w:val="00C278BA"/>
    <w:rsid w:val="00CA3F26"/>
    <w:rsid w:val="00EE33F0"/>
    <w:rsid w:val="00F26BAE"/>
    <w:rsid w:val="00F75181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7654"/>
  <w15:docId w15:val="{F6F372D8-B4DA-465D-8B78-EA7F6D1F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6377</Words>
  <Characters>36349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Лера))</cp:lastModifiedBy>
  <cp:revision>3</cp:revision>
  <cp:lastPrinted>2023-10-02T05:53:00Z</cp:lastPrinted>
  <dcterms:created xsi:type="dcterms:W3CDTF">2023-12-06T11:01:00Z</dcterms:created>
  <dcterms:modified xsi:type="dcterms:W3CDTF">2023-12-06T11:39:00Z</dcterms:modified>
</cp:coreProperties>
</file>